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8063C" w14:textId="1C32F5C0" w:rsidR="008649C9" w:rsidRDefault="00ED1D26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EC6180">
        <w:rPr>
          <w:rFonts w:ascii="Arial" w:eastAsia="Arial Unicode MS" w:hAnsi="Arial" w:cs="Arial" w:hint="eastAsia"/>
          <w:b/>
          <w:bCs/>
          <w:sz w:val="24"/>
        </w:rPr>
        <w:t>106</w:t>
      </w:r>
      <w:r>
        <w:rPr>
          <w:rFonts w:ascii="Arial" w:eastAsia="Arial Unicode MS" w:hAnsi="Arial" w:cs="Arial"/>
          <w:b/>
          <w:bCs/>
          <w:sz w:val="24"/>
        </w:rPr>
        <w:tab/>
        <w:t>S2-</w:t>
      </w:r>
      <w:r w:rsidR="00E931B0">
        <w:rPr>
          <w:rFonts w:ascii="Arial" w:eastAsia="Arial Unicode MS" w:hAnsi="Arial" w:cs="Arial" w:hint="eastAsia"/>
          <w:b/>
          <w:bCs/>
          <w:sz w:val="24"/>
        </w:rPr>
        <w:t>14</w:t>
      </w:r>
      <w:r w:rsidR="00FA3633">
        <w:rPr>
          <w:rFonts w:ascii="Arial" w:eastAsia="Arial Unicode MS" w:hAnsi="Arial" w:cs="Arial"/>
          <w:b/>
          <w:bCs/>
          <w:sz w:val="24"/>
        </w:rPr>
        <w:t>4273</w:t>
      </w:r>
    </w:p>
    <w:p w14:paraId="49C43750" w14:textId="6A0A8A42" w:rsidR="008649C9" w:rsidRDefault="00EC618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</w:rPr>
        <w:t>17</w:t>
      </w:r>
      <w:r w:rsidR="00ED1D26">
        <w:rPr>
          <w:rFonts w:ascii="Arial" w:eastAsia="Arial Unicode MS" w:hAnsi="Arial" w:cs="Arial"/>
          <w:b/>
          <w:bCs/>
        </w:rPr>
        <w:t xml:space="preserve"> - </w:t>
      </w:r>
      <w:r w:rsidR="00ED1D26">
        <w:rPr>
          <w:rFonts w:ascii="Arial" w:eastAsia="Arial Unicode MS" w:hAnsi="Arial" w:cs="Arial" w:hint="eastAsia"/>
          <w:b/>
          <w:bCs/>
        </w:rPr>
        <w:t>2</w:t>
      </w:r>
      <w:r>
        <w:rPr>
          <w:rFonts w:ascii="Arial" w:eastAsia="Arial Unicode MS" w:hAnsi="Arial" w:cs="Arial"/>
          <w:b/>
          <w:bCs/>
        </w:rPr>
        <w:t>1</w:t>
      </w:r>
      <w:r w:rsidR="00ED1D26">
        <w:rPr>
          <w:rFonts w:ascii="Arial" w:eastAsia="Arial Unicode MS" w:hAnsi="Arial" w:cs="Arial"/>
          <w:b/>
          <w:bCs/>
        </w:rPr>
        <w:t xml:space="preserve">, </w:t>
      </w:r>
      <w:r>
        <w:rPr>
          <w:rFonts w:ascii="Arial" w:eastAsia="Arial Unicode MS" w:hAnsi="Arial" w:cs="Arial"/>
          <w:b/>
          <w:bCs/>
        </w:rPr>
        <w:t xml:space="preserve">November </w:t>
      </w:r>
      <w:r w:rsidR="00ED1D26">
        <w:rPr>
          <w:rFonts w:ascii="Arial" w:eastAsia="Arial Unicode MS" w:hAnsi="Arial" w:cs="Arial"/>
          <w:b/>
          <w:bCs/>
        </w:rPr>
        <w:t>201</w:t>
      </w:r>
      <w:r w:rsidR="00ED1D26">
        <w:rPr>
          <w:rFonts w:ascii="Arial" w:eastAsia="Arial Unicode MS" w:hAnsi="Arial" w:cs="Arial" w:hint="eastAsia"/>
          <w:b/>
          <w:bCs/>
        </w:rPr>
        <w:t>4</w:t>
      </w:r>
      <w:r w:rsidR="00ED1D26">
        <w:rPr>
          <w:rFonts w:ascii="Arial" w:eastAsia="Arial Unicode MS" w:hAnsi="Arial" w:cs="Arial"/>
          <w:b/>
          <w:bCs/>
        </w:rPr>
        <w:t xml:space="preserve">, </w:t>
      </w:r>
      <w:r>
        <w:rPr>
          <w:rFonts w:ascii="Arial" w:eastAsia="Arial Unicode MS" w:hAnsi="Arial" w:cs="Arial"/>
          <w:b/>
          <w:bCs/>
        </w:rPr>
        <w:t>San Francisco</w:t>
      </w:r>
      <w:r w:rsidR="00ED1D26">
        <w:rPr>
          <w:rFonts w:ascii="Arial" w:eastAsia="Arial Unicode MS" w:hAnsi="Arial" w:cs="Arial"/>
          <w:b/>
          <w:bCs/>
        </w:rPr>
        <w:tab/>
      </w:r>
    </w:p>
    <w:p w14:paraId="078ADA4C" w14:textId="77777777" w:rsidR="008649C9" w:rsidRDefault="008649C9">
      <w:pPr>
        <w:rPr>
          <w:rFonts w:ascii="Arial" w:hAnsi="Arial" w:cs="Arial"/>
          <w:color w:val="auto"/>
        </w:rPr>
      </w:pPr>
    </w:p>
    <w:p w14:paraId="74E54E1A" w14:textId="6A9845E8" w:rsidR="008649C9" w:rsidRDefault="008649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7DAB">
        <w:rPr>
          <w:rFonts w:ascii="Arial" w:hAnsi="Arial" w:cs="Arial"/>
          <w:b/>
        </w:rPr>
        <w:t>ource:</w:t>
      </w:r>
      <w:r w:rsidR="00E67DAB">
        <w:rPr>
          <w:rFonts w:ascii="Arial" w:hAnsi="Arial" w:cs="Arial"/>
          <w:b/>
        </w:rPr>
        <w:tab/>
      </w:r>
      <w:r w:rsidR="00FA3633">
        <w:rPr>
          <w:rFonts w:ascii="Arial" w:hAnsi="Arial" w:cs="Arial"/>
          <w:b/>
        </w:rPr>
        <w:t xml:space="preserve">Vodafone </w:t>
      </w:r>
    </w:p>
    <w:p w14:paraId="1BF23A00" w14:textId="7DA35804" w:rsidR="008649C9" w:rsidRDefault="007841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43C1">
        <w:rPr>
          <w:rFonts w:ascii="Arial" w:hAnsi="Arial" w:cs="Arial" w:hint="eastAsia"/>
          <w:b/>
        </w:rPr>
        <w:t xml:space="preserve">Paging </w:t>
      </w:r>
      <w:r w:rsidR="00FA3633">
        <w:rPr>
          <w:rFonts w:ascii="Arial" w:hAnsi="Arial" w:cs="Arial"/>
          <w:b/>
        </w:rPr>
        <w:t>Load Reduction</w:t>
      </w:r>
      <w:bookmarkStart w:id="0" w:name="_GoBack"/>
      <w:bookmarkEnd w:id="0"/>
    </w:p>
    <w:p w14:paraId="36A7E3E6" w14:textId="448AE18B" w:rsidR="008649C9" w:rsidRDefault="00065D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01DAB">
        <w:rPr>
          <w:rFonts w:ascii="Arial" w:hAnsi="Arial" w:cs="Arial"/>
          <w:b/>
        </w:rPr>
        <w:t>Approval</w:t>
      </w:r>
    </w:p>
    <w:p w14:paraId="61DEB67C" w14:textId="53E364E4" w:rsidR="008649C9" w:rsidRDefault="008649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553E">
        <w:rPr>
          <w:rFonts w:ascii="Arial" w:hAnsi="Arial" w:cs="Arial" w:hint="eastAsia"/>
          <w:b/>
        </w:rPr>
        <w:t>7.19.1</w:t>
      </w:r>
    </w:p>
    <w:p w14:paraId="380B9B46" w14:textId="17C52D94" w:rsidR="008649C9" w:rsidRDefault="008649C9" w:rsidP="00ED1D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B089C">
        <w:rPr>
          <w:rFonts w:ascii="Arial" w:hAnsi="Arial" w:cs="Arial"/>
          <w:b/>
        </w:rPr>
        <w:t>TEI-13</w:t>
      </w:r>
      <w:r w:rsidR="00502755">
        <w:rPr>
          <w:rFonts w:ascii="Arial" w:hAnsi="Arial" w:cs="Arial"/>
          <w:b/>
        </w:rPr>
        <w:t xml:space="preserve"> Cat B/C for 3GPP Access </w:t>
      </w:r>
      <w:r w:rsidR="00DB089C">
        <w:rPr>
          <w:rFonts w:ascii="Arial" w:hAnsi="Arial" w:cs="Arial"/>
          <w:b/>
        </w:rPr>
        <w:t>/</w:t>
      </w:r>
      <w:r w:rsidR="00502755">
        <w:rPr>
          <w:rFonts w:ascii="Arial" w:hAnsi="Arial" w:cs="Arial"/>
          <w:b/>
        </w:rPr>
        <w:t xml:space="preserve"> </w:t>
      </w:r>
      <w:r w:rsidR="00DB089C">
        <w:rPr>
          <w:rFonts w:ascii="Arial" w:hAnsi="Arial" w:cs="Arial"/>
          <w:b/>
        </w:rPr>
        <w:t>Rel-13</w:t>
      </w:r>
    </w:p>
    <w:p w14:paraId="2248D22E" w14:textId="77777777" w:rsidR="00EA62E7" w:rsidRPr="00ED1D26" w:rsidRDefault="00EA62E7" w:rsidP="00ED1D26">
      <w:pPr>
        <w:ind w:left="2127" w:hanging="2127"/>
        <w:rPr>
          <w:rFonts w:ascii="Arial" w:hAnsi="Arial" w:cs="Arial"/>
          <w:b/>
        </w:rPr>
      </w:pPr>
    </w:p>
    <w:p w14:paraId="3050994F" w14:textId="77777777" w:rsidR="00065D65" w:rsidRDefault="00065D65" w:rsidP="005A2B53">
      <w:pPr>
        <w:pStyle w:val="Heading3"/>
      </w:pPr>
      <w:r>
        <w:rPr>
          <w:rFonts w:hint="eastAsia"/>
        </w:rPr>
        <w:t>1. Introduction</w:t>
      </w:r>
    </w:p>
    <w:p w14:paraId="5841CB83" w14:textId="14E7DB7F" w:rsidR="00FA3633" w:rsidRDefault="00FA3633" w:rsidP="002F26FC">
      <w:r>
        <w:t xml:space="preserve">This paper </w:t>
      </w:r>
      <w:r w:rsidR="00EA62E7">
        <w:t>was</w:t>
      </w:r>
      <w:r>
        <w:t xml:space="preserve"> stimulated by S2-141884 that was presented by NTT DOCOMO at SA2#103 in May 2014 and which is anticipated to be presented in an updated form at this meeting. </w:t>
      </w:r>
    </w:p>
    <w:p w14:paraId="6F293675" w14:textId="4B7FBC93" w:rsidR="00FA3633" w:rsidRDefault="00FA3633" w:rsidP="002F26FC">
      <w:r>
        <w:t xml:space="preserve">Vodafone has some hesitation over the technical solution </w:t>
      </w:r>
      <w:r w:rsidR="008D08F6">
        <w:t xml:space="preserve">that might </w:t>
      </w:r>
      <w:r>
        <w:t>be</w:t>
      </w:r>
      <w:r w:rsidR="008D08F6">
        <w:t xml:space="preserve"> </w:t>
      </w:r>
      <w:r>
        <w:t>proposed in th</w:t>
      </w:r>
      <w:r w:rsidR="008D08F6">
        <w:t>e updated</w:t>
      </w:r>
      <w:r>
        <w:t xml:space="preserve"> document and wish</w:t>
      </w:r>
      <w:r w:rsidR="00D01DAB">
        <w:t>es</w:t>
      </w:r>
      <w:r>
        <w:t xml:space="preserve"> that the alternative</w:t>
      </w:r>
      <w:r w:rsidR="008D08F6">
        <w:t>s</w:t>
      </w:r>
      <w:r>
        <w:t xml:space="preserve"> described </w:t>
      </w:r>
      <w:r w:rsidR="008D08F6">
        <w:t>in this document</w:t>
      </w:r>
      <w:r>
        <w:t xml:space="preserve"> </w:t>
      </w:r>
      <w:r w:rsidR="008D08F6">
        <w:t>are</w:t>
      </w:r>
      <w:r>
        <w:t xml:space="preserve"> also considered.</w:t>
      </w:r>
    </w:p>
    <w:p w14:paraId="35AB7DE9" w14:textId="43F91B59" w:rsidR="00FA3633" w:rsidRDefault="00FA3633" w:rsidP="002F26FC">
      <w:r>
        <w:t>This document assumes that the reader has read the above indicated documents.</w:t>
      </w:r>
    </w:p>
    <w:p w14:paraId="0BB543DD" w14:textId="77777777" w:rsidR="00FA3633" w:rsidRDefault="00FA3633" w:rsidP="002F26FC"/>
    <w:p w14:paraId="7D385B11" w14:textId="6DD02BCC" w:rsidR="00FA3633" w:rsidRDefault="00FA3633" w:rsidP="00FA3633">
      <w:pPr>
        <w:pStyle w:val="Heading3"/>
      </w:pPr>
      <w:r>
        <w:t>2</w:t>
      </w:r>
      <w:r>
        <w:rPr>
          <w:rFonts w:hint="eastAsia"/>
        </w:rPr>
        <w:t xml:space="preserve">. </w:t>
      </w:r>
      <w:r>
        <w:t>Paging Load Issues</w:t>
      </w:r>
    </w:p>
    <w:p w14:paraId="154336ED" w14:textId="1DDC4153" w:rsidR="00FA3633" w:rsidRDefault="00F92510" w:rsidP="002F26FC">
      <w:r>
        <w:rPr>
          <w:noProof/>
        </w:rPr>
        <w:t xml:space="preserve">The voE_UTRAN_PPD work item has revealed concerns over the ability of </w:t>
      </w:r>
      <w:r w:rsidR="00EA62E7">
        <w:rPr>
          <w:noProof/>
        </w:rPr>
        <w:t xml:space="preserve">some </w:t>
      </w:r>
      <w:r>
        <w:rPr>
          <w:noProof/>
        </w:rPr>
        <w:t>MMEs to handle S1 interface paging load.</w:t>
      </w:r>
    </w:p>
    <w:p w14:paraId="28CED634" w14:textId="52B6A7F9" w:rsidR="00FA3633" w:rsidRDefault="00F92510" w:rsidP="002F26FC">
      <w:r>
        <w:rPr>
          <w:noProof/>
        </w:rPr>
        <w:t>In R1-143635 = S2-142961, RAN 1 indicated concerns about the system efficiency caused by load on the E-UTRAN paging channel.</w:t>
      </w:r>
    </w:p>
    <w:p w14:paraId="6A81304F" w14:textId="5295CD76" w:rsidR="00FA3633" w:rsidRDefault="00F92510" w:rsidP="002F26FC">
      <w:r>
        <w:t>S2-141884 appears to try to address both these issues.</w:t>
      </w:r>
    </w:p>
    <w:p w14:paraId="5031C20C" w14:textId="77777777" w:rsidR="008D08F6" w:rsidRDefault="008D08F6" w:rsidP="002F26FC"/>
    <w:p w14:paraId="5EFA8269" w14:textId="0CDD5BA2" w:rsidR="00F92510" w:rsidRDefault="008D08F6" w:rsidP="002F26FC">
      <w:r>
        <w:t>However, o</w:t>
      </w:r>
      <w:r w:rsidR="00F92510">
        <w:t>ne aspect that does not seem to be raised in S2-141884 is the following</w:t>
      </w:r>
      <w:proofErr w:type="gramStart"/>
      <w:r w:rsidR="00F92510">
        <w:t>:</w:t>
      </w:r>
      <w:proofErr w:type="gramEnd"/>
      <w:r w:rsidR="00F92510">
        <w:br/>
      </w:r>
      <w:r w:rsidR="00F92510">
        <w:br/>
        <w:t>a) many M2M devices will be “cost optimised” and only support a subset of the frequencies in use by that PLMN (e.g. they might only support the “coverage layer” frequency)</w:t>
      </w:r>
      <w:r w:rsidR="008327EF">
        <w:t>.</w:t>
      </w:r>
    </w:p>
    <w:p w14:paraId="5F8E0B16" w14:textId="7E723122" w:rsidR="008327EF" w:rsidRDefault="008327EF" w:rsidP="002F26FC">
      <w:r>
        <w:t xml:space="preserve">b) </w:t>
      </w:r>
      <w:proofErr w:type="spellStart"/>
      <w:proofErr w:type="gramStart"/>
      <w:r>
        <w:t>eNodeBs</w:t>
      </w:r>
      <w:proofErr w:type="spellEnd"/>
      <w:proofErr w:type="gramEnd"/>
      <w:r>
        <w:t xml:space="preserve"> frequently support multiple frequency bands</w:t>
      </w:r>
      <w:r w:rsidR="00D01DAB">
        <w:t>.</w:t>
      </w:r>
    </w:p>
    <w:p w14:paraId="2E9468C0" w14:textId="3A9CC083" w:rsidR="00F92510" w:rsidRDefault="008327EF" w:rsidP="002F26FC">
      <w:r>
        <w:t>c</w:t>
      </w:r>
      <w:r w:rsidR="00F92510">
        <w:t xml:space="preserve">) </w:t>
      </w:r>
      <w:proofErr w:type="gramStart"/>
      <w:r w:rsidR="00F92510">
        <w:t>in</w:t>
      </w:r>
      <w:proofErr w:type="gramEnd"/>
      <w:r w:rsidR="00F92510">
        <w:t xml:space="preserve"> order to limit TA Update signalling load on the network, all the cells in one ‘sector’ of an </w:t>
      </w:r>
      <w:proofErr w:type="spellStart"/>
      <w:r w:rsidR="00F92510">
        <w:t>eNodeB</w:t>
      </w:r>
      <w:proofErr w:type="spellEnd"/>
      <w:r w:rsidR="00F92510">
        <w:t xml:space="preserve"> are likely to be allocated to the same Tracking Area.</w:t>
      </w:r>
    </w:p>
    <w:p w14:paraId="3C28424E" w14:textId="14BE3197" w:rsidR="00F92510" w:rsidRDefault="008327EF" w:rsidP="002F26FC">
      <w:r>
        <w:t>d</w:t>
      </w:r>
      <w:r w:rsidR="00F92510">
        <w:t xml:space="preserve">) </w:t>
      </w:r>
      <w:proofErr w:type="gramStart"/>
      <w:r w:rsidR="00F92510">
        <w:t>hence</w:t>
      </w:r>
      <w:proofErr w:type="gramEnd"/>
      <w:r w:rsidR="00F92510">
        <w:t xml:space="preserve"> with the current EPS architecture, radio interface paging will be sent on all frequency bands – even those that the UE does not support!</w:t>
      </w:r>
      <w:r>
        <w:t xml:space="preserve"> This is (and will become more) wasteful of radio paging capacity.</w:t>
      </w:r>
    </w:p>
    <w:p w14:paraId="4A200066" w14:textId="77777777" w:rsidR="00F92510" w:rsidRDefault="00F92510" w:rsidP="002F26FC"/>
    <w:p w14:paraId="23111C83" w14:textId="60623C65" w:rsidR="008D08F6" w:rsidRDefault="008D08F6" w:rsidP="008D08F6">
      <w:pPr>
        <w:ind w:left="1298" w:hanging="1298"/>
      </w:pPr>
      <w:r>
        <w:t xml:space="preserve">Note: </w:t>
      </w:r>
      <w:r>
        <w:tab/>
        <w:t>this issue is not just related to M2M devices: many (perhaps most?) LTE devices do not (and will not) support all the frequency bands used by their VPLMN.</w:t>
      </w:r>
    </w:p>
    <w:p w14:paraId="627F8C14" w14:textId="77777777" w:rsidR="008D08F6" w:rsidRDefault="008D08F6" w:rsidP="002F26FC"/>
    <w:p w14:paraId="38D164D6" w14:textId="76E8B70F" w:rsidR="00F92510" w:rsidRDefault="008327EF" w:rsidP="00F92510">
      <w:pPr>
        <w:pStyle w:val="Heading3"/>
      </w:pPr>
      <w:r>
        <w:t>3</w:t>
      </w:r>
      <w:r w:rsidR="00F92510">
        <w:rPr>
          <w:rFonts w:hint="eastAsia"/>
        </w:rPr>
        <w:t xml:space="preserve">. </w:t>
      </w:r>
      <w:r w:rsidR="00F92510">
        <w:t>Alternative solution to reduce MME paging load</w:t>
      </w:r>
    </w:p>
    <w:p w14:paraId="4826AFD7" w14:textId="27A53E6C" w:rsidR="00F92510" w:rsidRDefault="00F92510" w:rsidP="00EA62E7">
      <w:pPr>
        <w:ind w:left="2432" w:hanging="1298"/>
      </w:pPr>
      <w:r>
        <w:t xml:space="preserve">Note: </w:t>
      </w:r>
      <w:r w:rsidR="00EA62E7">
        <w:t xml:space="preserve">if successful in reducing MME paging load, </w:t>
      </w:r>
      <w:r>
        <w:t xml:space="preserve">this solution </w:t>
      </w:r>
      <w:r w:rsidR="00EA62E7">
        <w:t>would</w:t>
      </w:r>
      <w:r>
        <w:t xml:space="preserve"> also reduce radio interface paging load.</w:t>
      </w:r>
    </w:p>
    <w:p w14:paraId="48E022DD" w14:textId="2353A0BD" w:rsidR="00F92510" w:rsidRDefault="008327EF" w:rsidP="002F26FC">
      <w:r>
        <w:lastRenderedPageBreak/>
        <w:t>The procedure is as follows:</w:t>
      </w:r>
    </w:p>
    <w:p w14:paraId="4BC01788" w14:textId="1FD92610" w:rsidR="008327EF" w:rsidRDefault="008327EF" w:rsidP="008327EF">
      <w:pPr>
        <w:pStyle w:val="ListParagraph"/>
        <w:numPr>
          <w:ilvl w:val="0"/>
          <w:numId w:val="39"/>
        </w:numPr>
      </w:pPr>
      <w:r>
        <w:t xml:space="preserve">As a result of MME algorithms and configuration parameters, the MME determines that it wishes to send a first page in the area of the last used </w:t>
      </w:r>
      <w:proofErr w:type="spellStart"/>
      <w:r>
        <w:t>eNodeB</w:t>
      </w:r>
      <w:proofErr w:type="spellEnd"/>
      <w:r>
        <w:t xml:space="preserve">. There is no intention to specify this algorithm. </w:t>
      </w:r>
    </w:p>
    <w:p w14:paraId="6895FA65" w14:textId="77777777" w:rsidR="008327EF" w:rsidRDefault="008327EF" w:rsidP="008327EF">
      <w:pPr>
        <w:pStyle w:val="ListParagraph"/>
      </w:pPr>
    </w:p>
    <w:p w14:paraId="609A4A93" w14:textId="3B7A9B40" w:rsidR="008327EF" w:rsidRDefault="008327EF" w:rsidP="008327EF">
      <w:pPr>
        <w:pStyle w:val="ListParagraph"/>
        <w:numPr>
          <w:ilvl w:val="0"/>
          <w:numId w:val="39"/>
        </w:numPr>
      </w:pPr>
      <w:r>
        <w:t xml:space="preserve">The MME sends the S1 Paging message only to the last used </w:t>
      </w:r>
      <w:proofErr w:type="spellStart"/>
      <w:r>
        <w:t>eNodeB</w:t>
      </w:r>
      <w:proofErr w:type="spellEnd"/>
      <w:r>
        <w:t xml:space="preserve">. This S1 Paging message contains an additional information element that requests the </w:t>
      </w:r>
      <w:proofErr w:type="spellStart"/>
      <w:r>
        <w:t>eNodeB</w:t>
      </w:r>
      <w:proofErr w:type="spellEnd"/>
      <w:r>
        <w:t xml:space="preserve"> to page in adjacent cells.</w:t>
      </w:r>
    </w:p>
    <w:p w14:paraId="6228F186" w14:textId="77777777" w:rsidR="008327EF" w:rsidRDefault="008327EF" w:rsidP="008327EF">
      <w:pPr>
        <w:pStyle w:val="ListParagraph"/>
      </w:pPr>
    </w:p>
    <w:p w14:paraId="60CE73C0" w14:textId="5B3027C9" w:rsidR="008327EF" w:rsidRDefault="008327EF" w:rsidP="008327EF">
      <w:pPr>
        <w:pStyle w:val="ListParagraph"/>
        <w:numPr>
          <w:ilvl w:val="0"/>
          <w:numId w:val="39"/>
        </w:numPr>
      </w:pPr>
      <w:r>
        <w:t xml:space="preserve">The </w:t>
      </w:r>
      <w:proofErr w:type="spellStart"/>
      <w:r>
        <w:t>eNodeB</w:t>
      </w:r>
      <w:proofErr w:type="spellEnd"/>
      <w:r>
        <w:t xml:space="preserve"> uses its configuration data and/or handover counters and/or SON to determine the appropriate set</w:t>
      </w:r>
      <w:r w:rsidR="00D01DAB">
        <w:t xml:space="preserve"> of neighbour cells. (T</w:t>
      </w:r>
      <w:r>
        <w:t xml:space="preserve">his </w:t>
      </w:r>
      <w:r w:rsidR="00D01DAB">
        <w:t>step may</w:t>
      </w:r>
      <w:r>
        <w:t xml:space="preserve"> be done as a background process before step b</w:t>
      </w:r>
      <w:r w:rsidR="00D01DAB">
        <w:t>.</w:t>
      </w:r>
      <w:r>
        <w:t>)</w:t>
      </w:r>
    </w:p>
    <w:p w14:paraId="6B9BC772" w14:textId="77777777" w:rsidR="008327EF" w:rsidRDefault="008327EF" w:rsidP="008327EF">
      <w:pPr>
        <w:pStyle w:val="ListParagraph"/>
      </w:pPr>
    </w:p>
    <w:p w14:paraId="1FD17F35" w14:textId="3510A41D" w:rsidR="008327EF" w:rsidRDefault="008327EF" w:rsidP="008327EF">
      <w:pPr>
        <w:pStyle w:val="ListParagraph"/>
        <w:numPr>
          <w:ilvl w:val="0"/>
          <w:numId w:val="39"/>
        </w:numPr>
      </w:pPr>
      <w:r>
        <w:t xml:space="preserve">That </w:t>
      </w:r>
      <w:proofErr w:type="spellStart"/>
      <w:r>
        <w:t>eNodeB</w:t>
      </w:r>
      <w:proofErr w:type="spellEnd"/>
      <w:r>
        <w:t xml:space="preserve"> then sends a (new) X2 interface “Paging” message to each of these neighbouring </w:t>
      </w:r>
      <w:proofErr w:type="spellStart"/>
      <w:r>
        <w:t>eNodeBs</w:t>
      </w:r>
      <w:proofErr w:type="spellEnd"/>
      <w:r>
        <w:t xml:space="preserve">. </w:t>
      </w:r>
    </w:p>
    <w:p w14:paraId="48B2532C" w14:textId="77777777" w:rsidR="008327EF" w:rsidRDefault="008327EF" w:rsidP="008327EF">
      <w:pPr>
        <w:pStyle w:val="ListParagraph"/>
      </w:pPr>
    </w:p>
    <w:p w14:paraId="5A74AA33" w14:textId="1D3A1953" w:rsidR="008327EF" w:rsidRDefault="008327EF" w:rsidP="008327EF">
      <w:pPr>
        <w:pStyle w:val="ListParagraph"/>
        <w:numPr>
          <w:ilvl w:val="0"/>
          <w:numId w:val="39"/>
        </w:numPr>
      </w:pPr>
      <w:r>
        <w:t xml:space="preserve">The neighbouring </w:t>
      </w:r>
      <w:proofErr w:type="spellStart"/>
      <w:r>
        <w:t>eNodeBs</w:t>
      </w:r>
      <w:proofErr w:type="spellEnd"/>
      <w:r>
        <w:t xml:space="preserve"> then page that UE – either in all their cells, or, in only the cells that they determine are neighbours to the source </w:t>
      </w:r>
      <w:proofErr w:type="spellStart"/>
      <w:r>
        <w:t>eNodeB</w:t>
      </w:r>
      <w:proofErr w:type="spellEnd"/>
      <w:r>
        <w:t>.</w:t>
      </w:r>
    </w:p>
    <w:p w14:paraId="2E711FCF" w14:textId="77777777" w:rsidR="008327EF" w:rsidRDefault="008327EF" w:rsidP="008327EF">
      <w:pPr>
        <w:pStyle w:val="ListParagraph"/>
      </w:pPr>
    </w:p>
    <w:p w14:paraId="5A4A2E74" w14:textId="3305EF26" w:rsidR="008327EF" w:rsidRDefault="008327EF" w:rsidP="002F26FC">
      <w:r>
        <w:t xml:space="preserve">The exact details of the S1 and X2 procedures are for the RAN WGs. For example, </w:t>
      </w:r>
      <w:r w:rsidR="008D08F6">
        <w:br/>
      </w:r>
      <w:r>
        <w:br/>
        <w:t xml:space="preserve">- whether the MME sends the full TAI List or only the TAIs from the List that are part of the ‘source </w:t>
      </w:r>
      <w:proofErr w:type="spellStart"/>
      <w:r>
        <w:t>eNodeB</w:t>
      </w:r>
      <w:proofErr w:type="spellEnd"/>
      <w:r>
        <w:t xml:space="preserve">’ (in which case the neighbours might page the UE in an area where it is not registered -&gt; but does this really matter? -&gt; </w:t>
      </w:r>
      <w:proofErr w:type="gramStart"/>
      <w:r w:rsidR="008D08F6">
        <w:t>control</w:t>
      </w:r>
      <w:proofErr w:type="gramEnd"/>
      <w:r w:rsidR="008D08F6">
        <w:t xml:space="preserve"> might be useful at</w:t>
      </w:r>
      <w:r>
        <w:t xml:space="preserve"> a shared network</w:t>
      </w:r>
      <w:r w:rsidR="008D08F6">
        <w:t xml:space="preserve"> boundary</w:t>
      </w:r>
      <w:r>
        <w:t>.)</w:t>
      </w:r>
    </w:p>
    <w:p w14:paraId="69A2B393" w14:textId="60018AEA" w:rsidR="008327EF" w:rsidRDefault="008327EF" w:rsidP="002F26FC">
      <w:r>
        <w:t xml:space="preserve">- </w:t>
      </w:r>
      <w:proofErr w:type="gramStart"/>
      <w:r>
        <w:t>whether</w:t>
      </w:r>
      <w:proofErr w:type="gramEnd"/>
      <w:r>
        <w:t xml:space="preserve"> the source </w:t>
      </w:r>
      <w:proofErr w:type="spellStart"/>
      <w:r>
        <w:t>eNodeB</w:t>
      </w:r>
      <w:proofErr w:type="spellEnd"/>
      <w:r>
        <w:t xml:space="preserve"> sends the selected neighbour cells to the Neighbour </w:t>
      </w:r>
      <w:proofErr w:type="spellStart"/>
      <w:r>
        <w:t>eN</w:t>
      </w:r>
      <w:r w:rsidR="008D08F6">
        <w:t>ode</w:t>
      </w:r>
      <w:r>
        <w:t>B</w:t>
      </w:r>
      <w:proofErr w:type="spellEnd"/>
      <w:r w:rsidR="00D01DAB">
        <w:t>,</w:t>
      </w:r>
      <w:r>
        <w:t xml:space="preserve"> or</w:t>
      </w:r>
      <w:r w:rsidR="00D01DAB">
        <w:t>,</w:t>
      </w:r>
      <w:r>
        <w:t xml:space="preserve"> lets the neighbour </w:t>
      </w:r>
      <w:proofErr w:type="spellStart"/>
      <w:r>
        <w:t>eNB</w:t>
      </w:r>
      <w:proofErr w:type="spellEnd"/>
      <w:r>
        <w:t xml:space="preserve"> choose the cells</w:t>
      </w:r>
      <w:r w:rsidR="00D01DAB">
        <w:t xml:space="preserve"> on that neighbouring </w:t>
      </w:r>
      <w:proofErr w:type="spellStart"/>
      <w:r w:rsidR="00D01DAB">
        <w:t>eNodeB</w:t>
      </w:r>
      <w:proofErr w:type="spellEnd"/>
      <w:r>
        <w:t>.</w:t>
      </w:r>
    </w:p>
    <w:p w14:paraId="21CFF9A0" w14:textId="72ED79A1" w:rsidR="008327EF" w:rsidRDefault="008327EF" w:rsidP="002F26FC">
      <w:r>
        <w:t xml:space="preserve">- </w:t>
      </w:r>
      <w:proofErr w:type="gramStart"/>
      <w:r>
        <w:t>interactions</w:t>
      </w:r>
      <w:proofErr w:type="gramEnd"/>
      <w:r>
        <w:t xml:space="preserve"> with the Supported Frequency Band IE (see next section)</w:t>
      </w:r>
      <w:r w:rsidR="008D08F6">
        <w:t>.</w:t>
      </w:r>
    </w:p>
    <w:p w14:paraId="27282FD7" w14:textId="77777777" w:rsidR="008327EF" w:rsidRDefault="008327EF" w:rsidP="002F26FC"/>
    <w:p w14:paraId="75B2E767" w14:textId="78991DA2" w:rsidR="00F92510" w:rsidRDefault="008D08F6" w:rsidP="002F26FC">
      <w:r>
        <w:t>One aspect of this approach is that the MME is kept free of any detailed RAN knowledge.</w:t>
      </w:r>
    </w:p>
    <w:p w14:paraId="511F4358" w14:textId="77777777" w:rsidR="00F92510" w:rsidRDefault="00F92510" w:rsidP="002F26FC"/>
    <w:p w14:paraId="35C2D4B2" w14:textId="3F85D643" w:rsidR="008D08F6" w:rsidRDefault="008D08F6" w:rsidP="008D08F6">
      <w:pPr>
        <w:pStyle w:val="Heading3"/>
      </w:pPr>
      <w:r>
        <w:t>4</w:t>
      </w:r>
      <w:r>
        <w:rPr>
          <w:rFonts w:hint="eastAsia"/>
        </w:rPr>
        <w:t xml:space="preserve">. </w:t>
      </w:r>
      <w:r>
        <w:t>Alternative solution to reduce radio interface paging load</w:t>
      </w:r>
    </w:p>
    <w:p w14:paraId="0C799392" w14:textId="2E1273BE" w:rsidR="008D08F6" w:rsidRPr="008D08F6" w:rsidRDefault="008D08F6" w:rsidP="008D08F6">
      <w:pPr>
        <w:ind w:firstLine="1134"/>
      </w:pPr>
      <w:r>
        <w:t>Note: this solution does NOT reduce MME paging load.</w:t>
      </w:r>
    </w:p>
    <w:p w14:paraId="0AF0CB26" w14:textId="42C7A421" w:rsidR="008D08F6" w:rsidRDefault="008D08F6" w:rsidP="008D08F6">
      <w:pPr>
        <w:rPr>
          <w:noProof/>
        </w:rPr>
      </w:pPr>
      <w:r>
        <w:rPr>
          <w:noProof/>
        </w:rPr>
        <w:t xml:space="preserve">In order to limit EMM signalling load, an operator </w:t>
      </w:r>
      <w:r w:rsidR="00D01DAB">
        <w:rPr>
          <w:noProof/>
        </w:rPr>
        <w:t>may</w:t>
      </w:r>
      <w:r>
        <w:rPr>
          <w:noProof/>
        </w:rPr>
        <w:t xml:space="preserve"> choose to place cells that are on different frequencies but which are on the same sector of an eNodeB in the same Tracking Area. </w:t>
      </w:r>
    </w:p>
    <w:p w14:paraId="388503D5" w14:textId="6D62111A" w:rsidR="008D08F6" w:rsidRDefault="008D08F6" w:rsidP="008D08F6">
      <w:pPr>
        <w:rPr>
          <w:noProof/>
        </w:rPr>
      </w:pPr>
      <w:r>
        <w:rPr>
          <w:noProof/>
        </w:rPr>
        <w:t>While some UEs will support all these frequency bands, other UEs – especially cost optimised M2M devices - may only support a subset (e.g. one) of the frequency bands.</w:t>
      </w:r>
    </w:p>
    <w:p w14:paraId="61F0D1F3" w14:textId="77777777" w:rsidR="008D08F6" w:rsidRDefault="008D08F6" w:rsidP="008D08F6">
      <w:pPr>
        <w:rPr>
          <w:noProof/>
        </w:rPr>
      </w:pPr>
      <w:r>
        <w:rPr>
          <w:noProof/>
        </w:rPr>
        <w:t>In order to reduce radio interface paging load by not paging UEs on frequencies that that UE does not support, the following is performed:</w:t>
      </w:r>
    </w:p>
    <w:p w14:paraId="64D41586" w14:textId="77777777" w:rsidR="008D08F6" w:rsidRDefault="008D08F6" w:rsidP="008D08F6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 xml:space="preserve">when the E-UTRAN receives the UE Radio Capability IE, the E-UTRAN processes it and creates a new information element called the Supported Frequency Band IE. </w:t>
      </w:r>
    </w:p>
    <w:p w14:paraId="46FCDE9C" w14:textId="1AEA6B5F" w:rsidR="008D08F6" w:rsidRDefault="008D08F6" w:rsidP="008D08F6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>The E-UTRAN sends the Supported Frequency Band IE to the MME whenever the E-UTRAN sends the UE Radio Capability IE</w:t>
      </w:r>
      <w:r w:rsidR="00D01DAB">
        <w:rPr>
          <w:noProof/>
        </w:rPr>
        <w:t xml:space="preserve"> to the MME.</w:t>
      </w:r>
    </w:p>
    <w:p w14:paraId="6EB353BB" w14:textId="5B00B2FD" w:rsidR="008D08F6" w:rsidRDefault="008D08F6" w:rsidP="008D08F6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>The MME stores both IEs. Whenever the MME deletes the UE Radio Capability IE it also deletes the Supported Frequency Band IE.</w:t>
      </w:r>
    </w:p>
    <w:p w14:paraId="70A021D2" w14:textId="77777777" w:rsidR="008D08F6" w:rsidRDefault="008D08F6" w:rsidP="008D08F6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>When the MME sends a S1 interface Paging message to the E-UTRAN, the MME includes the Supported Frequency Band IE.</w:t>
      </w:r>
    </w:p>
    <w:p w14:paraId="4A3E5CEA" w14:textId="77777777" w:rsidR="008D08F6" w:rsidRDefault="008D08F6" w:rsidP="008D08F6">
      <w:pPr>
        <w:numPr>
          <w:ilvl w:val="0"/>
          <w:numId w:val="40"/>
        </w:numPr>
        <w:overflowPunct/>
        <w:autoSpaceDE/>
        <w:autoSpaceDN/>
        <w:adjustRightInd/>
        <w:textAlignment w:val="auto"/>
        <w:rPr>
          <w:noProof/>
        </w:rPr>
      </w:pPr>
      <w:r>
        <w:rPr>
          <w:noProof/>
        </w:rPr>
        <w:t>The E-UTRAN uses the Supported Frequency Band IE to choose which cells to (not) transmit the page to the UE.</w:t>
      </w:r>
    </w:p>
    <w:p w14:paraId="557F5EF0" w14:textId="7F8A640B" w:rsidR="008D08F6" w:rsidRDefault="008D08F6" w:rsidP="008D08F6">
      <w:pPr>
        <w:rPr>
          <w:noProof/>
        </w:rPr>
      </w:pPr>
      <w:r>
        <w:rPr>
          <w:noProof/>
        </w:rPr>
        <w:t xml:space="preserve">When combined with the previous alternative (section 3), the Supported Frequency Band IE </w:t>
      </w:r>
      <w:r w:rsidR="00D01DAB">
        <w:rPr>
          <w:noProof/>
        </w:rPr>
        <w:t>should</w:t>
      </w:r>
      <w:r>
        <w:rPr>
          <w:noProof/>
        </w:rPr>
        <w:t xml:space="preserve"> be used by the source eNodeB to avoid selecting an inappropriate set of neighbour eNodeBs.</w:t>
      </w:r>
    </w:p>
    <w:p w14:paraId="2F1F099A" w14:textId="77777777" w:rsidR="008D08F6" w:rsidRDefault="008D08F6" w:rsidP="004A21E9"/>
    <w:p w14:paraId="54C03050" w14:textId="476CF434" w:rsidR="008D08F6" w:rsidRPr="008D08F6" w:rsidRDefault="008D08F6" w:rsidP="008D08F6">
      <w:pPr>
        <w:pStyle w:val="Heading3"/>
        <w:rPr>
          <w:rFonts w:ascii="Times New Roman" w:hAnsi="Times New Roman"/>
        </w:rPr>
      </w:pPr>
      <w:r>
        <w:lastRenderedPageBreak/>
        <w:t>5</w:t>
      </w:r>
      <w:r>
        <w:rPr>
          <w:rFonts w:hint="eastAsia"/>
        </w:rPr>
        <w:t xml:space="preserve">. </w:t>
      </w:r>
      <w:r>
        <w:t>Proposals</w:t>
      </w:r>
    </w:p>
    <w:p w14:paraId="6C0A3EF5" w14:textId="10CFF535" w:rsidR="008D08F6" w:rsidRDefault="008D08F6" w:rsidP="004A21E9">
      <w:r>
        <w:t>It is proposed that:</w:t>
      </w:r>
    </w:p>
    <w:p w14:paraId="2A0BCFE5" w14:textId="0DB5250E" w:rsidR="008D08F6" w:rsidRDefault="008D08F6" w:rsidP="008D08F6">
      <w:pPr>
        <w:pStyle w:val="ListParagraph"/>
        <w:numPr>
          <w:ilvl w:val="0"/>
          <w:numId w:val="41"/>
        </w:numPr>
      </w:pPr>
      <w:r>
        <w:t>The above alternatives are discussed along with other relevant input contributions.</w:t>
      </w:r>
    </w:p>
    <w:p w14:paraId="795B4534" w14:textId="77777777" w:rsidR="008D08F6" w:rsidRDefault="008D08F6" w:rsidP="008D08F6">
      <w:pPr>
        <w:pStyle w:val="ListParagraph"/>
      </w:pPr>
    </w:p>
    <w:p w14:paraId="78DB3CB7" w14:textId="6023AB26" w:rsidR="008D08F6" w:rsidRDefault="00EA62E7" w:rsidP="008D08F6">
      <w:pPr>
        <w:pStyle w:val="ListParagraph"/>
        <w:numPr>
          <w:ilvl w:val="0"/>
          <w:numId w:val="41"/>
        </w:numPr>
      </w:pPr>
      <w:r>
        <w:t xml:space="preserve">The </w:t>
      </w:r>
      <w:r w:rsidR="008D08F6">
        <w:t xml:space="preserve">CR to TS 23.401 in </w:t>
      </w:r>
      <w:proofErr w:type="spellStart"/>
      <w:r w:rsidR="008D08F6">
        <w:t>tdoc</w:t>
      </w:r>
      <w:proofErr w:type="spellEnd"/>
      <w:r w:rsidR="008D08F6">
        <w:t xml:space="preserve"> S2-144274 is reviewed and updated.</w:t>
      </w:r>
    </w:p>
    <w:p w14:paraId="48746B50" w14:textId="77777777" w:rsidR="008D08F6" w:rsidRDefault="008D08F6" w:rsidP="008D08F6">
      <w:pPr>
        <w:pStyle w:val="ListParagraph"/>
      </w:pPr>
    </w:p>
    <w:p w14:paraId="6DD59B0F" w14:textId="667E356D" w:rsidR="008D08F6" w:rsidRDefault="008D08F6" w:rsidP="008D08F6">
      <w:pPr>
        <w:pStyle w:val="ListParagraph"/>
        <w:numPr>
          <w:ilvl w:val="0"/>
          <w:numId w:val="41"/>
        </w:numPr>
      </w:pPr>
      <w:r>
        <w:t>Dialogue with RAN Working Groups is opened.</w:t>
      </w:r>
    </w:p>
    <w:p w14:paraId="3D7AC1CB" w14:textId="77777777" w:rsidR="008D08F6" w:rsidRDefault="008D08F6" w:rsidP="00EC6180">
      <w:pPr>
        <w:pStyle w:val="B1"/>
      </w:pPr>
    </w:p>
    <w:sectPr w:rsidR="008D08F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C283D" w14:textId="77777777" w:rsidR="007E31E7" w:rsidRDefault="007E31E7">
      <w:r>
        <w:separator/>
      </w:r>
    </w:p>
    <w:p w14:paraId="31706CE6" w14:textId="77777777" w:rsidR="007E31E7" w:rsidRDefault="007E31E7"/>
  </w:endnote>
  <w:endnote w:type="continuationSeparator" w:id="0">
    <w:p w14:paraId="65F73180" w14:textId="77777777" w:rsidR="007E31E7" w:rsidRDefault="007E31E7">
      <w:r>
        <w:continuationSeparator/>
      </w:r>
    </w:p>
    <w:p w14:paraId="5732E5AC" w14:textId="77777777" w:rsidR="007E31E7" w:rsidRDefault="007E3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64AF7" w14:textId="77777777" w:rsidR="007B59ED" w:rsidRDefault="007B59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66D9F2" w14:textId="77777777" w:rsidR="007B59ED" w:rsidRDefault="007B59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C3E830" w14:textId="77777777" w:rsidR="007B59ED" w:rsidRDefault="007B59E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304E9" w14:textId="77777777" w:rsidR="007E31E7" w:rsidRDefault="007E31E7">
      <w:r>
        <w:separator/>
      </w:r>
    </w:p>
    <w:p w14:paraId="128019C4" w14:textId="77777777" w:rsidR="007E31E7" w:rsidRDefault="007E31E7"/>
  </w:footnote>
  <w:footnote w:type="continuationSeparator" w:id="0">
    <w:p w14:paraId="79F2DB0F" w14:textId="77777777" w:rsidR="007E31E7" w:rsidRDefault="007E31E7">
      <w:r>
        <w:continuationSeparator/>
      </w:r>
    </w:p>
    <w:p w14:paraId="74CAC2E3" w14:textId="77777777" w:rsidR="007E31E7" w:rsidRDefault="007E31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007A3" w14:textId="77777777" w:rsidR="007B59ED" w:rsidRDefault="007B59ED"/>
  <w:p w14:paraId="03D1E145" w14:textId="77777777" w:rsidR="007B59ED" w:rsidRDefault="007B59E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EC7AC" w14:textId="77777777" w:rsidR="007B59ED" w:rsidRDefault="007B59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C6EDF09" w14:textId="77777777" w:rsidR="007B59ED" w:rsidRDefault="007B59E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DA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46F360A" w14:textId="77777777" w:rsidR="007B59ED" w:rsidRDefault="007B59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16A86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EA29B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794F0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9926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3F7013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41EBF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13B0BB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BF019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7A6B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8A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E92D1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40C706E"/>
    <w:multiLevelType w:val="hybridMultilevel"/>
    <w:tmpl w:val="55FCF814"/>
    <w:lvl w:ilvl="0" w:tplc="DEAE50B4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83B76D9"/>
    <w:multiLevelType w:val="hybridMultilevel"/>
    <w:tmpl w:val="8BB29B5E"/>
    <w:lvl w:ilvl="0" w:tplc="F6026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085B29D2"/>
    <w:multiLevelType w:val="hybridMultilevel"/>
    <w:tmpl w:val="BEC2B9D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6421B6"/>
    <w:multiLevelType w:val="hybridMultilevel"/>
    <w:tmpl w:val="8F1EFE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BD591E"/>
    <w:multiLevelType w:val="hybridMultilevel"/>
    <w:tmpl w:val="9D60D926"/>
    <w:lvl w:ilvl="0" w:tplc="7D6408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0D83171A"/>
    <w:multiLevelType w:val="hybridMultilevel"/>
    <w:tmpl w:val="D1289E2C"/>
    <w:lvl w:ilvl="0" w:tplc="08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3251DB9"/>
    <w:multiLevelType w:val="hybridMultilevel"/>
    <w:tmpl w:val="D4B247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E0189B"/>
    <w:multiLevelType w:val="hybridMultilevel"/>
    <w:tmpl w:val="F7484302"/>
    <w:lvl w:ilvl="0" w:tplc="1B1C4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302C3C1F"/>
    <w:multiLevelType w:val="hybridMultilevel"/>
    <w:tmpl w:val="5D52808C"/>
    <w:lvl w:ilvl="0" w:tplc="A6708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2C97C55"/>
    <w:multiLevelType w:val="hybridMultilevel"/>
    <w:tmpl w:val="8D264B5E"/>
    <w:lvl w:ilvl="0" w:tplc="ED7C438A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34211AF4"/>
    <w:multiLevelType w:val="hybridMultilevel"/>
    <w:tmpl w:val="7CEC0F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3F1E2E12"/>
    <w:multiLevelType w:val="hybridMultilevel"/>
    <w:tmpl w:val="2EF86E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5D01171"/>
    <w:multiLevelType w:val="hybridMultilevel"/>
    <w:tmpl w:val="78D86ED6"/>
    <w:lvl w:ilvl="0" w:tplc="A6708EA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5E71704C"/>
    <w:multiLevelType w:val="hybridMultilevel"/>
    <w:tmpl w:val="C6A0659E"/>
    <w:lvl w:ilvl="0" w:tplc="76C28C0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67032390"/>
    <w:multiLevelType w:val="hybridMultilevel"/>
    <w:tmpl w:val="2E224662"/>
    <w:lvl w:ilvl="0" w:tplc="7078420E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7482635A"/>
    <w:multiLevelType w:val="hybridMultilevel"/>
    <w:tmpl w:val="5BF66664"/>
    <w:lvl w:ilvl="0" w:tplc="AE00C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9"/>
  </w:num>
  <w:num w:numId="3">
    <w:abstractNumId w:val="28"/>
  </w:num>
  <w:num w:numId="4">
    <w:abstractNumId w:val="13"/>
  </w:num>
  <w:num w:numId="5">
    <w:abstractNumId w:val="36"/>
  </w:num>
  <w:num w:numId="6">
    <w:abstractNumId w:val="22"/>
  </w:num>
  <w:num w:numId="7">
    <w:abstractNumId w:val="21"/>
  </w:num>
  <w:num w:numId="8">
    <w:abstractNumId w:val="32"/>
  </w:num>
  <w:num w:numId="9">
    <w:abstractNumId w:val="31"/>
  </w:num>
  <w:num w:numId="10">
    <w:abstractNumId w:val="23"/>
  </w:num>
  <w:num w:numId="11">
    <w:abstractNumId w:val="19"/>
  </w:num>
  <w:num w:numId="12">
    <w:abstractNumId w:val="40"/>
  </w:num>
  <w:num w:numId="13">
    <w:abstractNumId w:val="35"/>
  </w:num>
  <w:num w:numId="14">
    <w:abstractNumId w:val="3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2"/>
  </w:num>
  <w:num w:numId="26">
    <w:abstractNumId w:val="26"/>
  </w:num>
  <w:num w:numId="27">
    <w:abstractNumId w:val="17"/>
  </w:num>
  <w:num w:numId="28">
    <w:abstractNumId w:val="37"/>
  </w:num>
  <w:num w:numId="29">
    <w:abstractNumId w:val="38"/>
  </w:num>
  <w:num w:numId="30">
    <w:abstractNumId w:val="24"/>
  </w:num>
  <w:num w:numId="31">
    <w:abstractNumId w:val="14"/>
  </w:num>
  <w:num w:numId="32">
    <w:abstractNumId w:val="39"/>
  </w:num>
  <w:num w:numId="33">
    <w:abstractNumId w:val="25"/>
  </w:num>
  <w:num w:numId="34">
    <w:abstractNumId w:val="33"/>
  </w:num>
  <w:num w:numId="35">
    <w:abstractNumId w:val="30"/>
  </w:num>
  <w:num w:numId="36">
    <w:abstractNumId w:val="20"/>
  </w:num>
  <w:num w:numId="37">
    <w:abstractNumId w:val="27"/>
  </w:num>
  <w:num w:numId="38">
    <w:abstractNumId w:val="0"/>
  </w:num>
  <w:num w:numId="39">
    <w:abstractNumId w:val="15"/>
  </w:num>
  <w:num w:numId="40">
    <w:abstractNumId w:val="1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intFractionalCharacterWidth/>
  <w:embedSystemFonts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AB"/>
    <w:rsid w:val="00003D78"/>
    <w:rsid w:val="00004800"/>
    <w:rsid w:val="00010972"/>
    <w:rsid w:val="0001353D"/>
    <w:rsid w:val="00015D4D"/>
    <w:rsid w:val="0003611F"/>
    <w:rsid w:val="00047BA0"/>
    <w:rsid w:val="000540F6"/>
    <w:rsid w:val="00065D65"/>
    <w:rsid w:val="00084410"/>
    <w:rsid w:val="0009667C"/>
    <w:rsid w:val="000A6499"/>
    <w:rsid w:val="000A66D4"/>
    <w:rsid w:val="000C1CA3"/>
    <w:rsid w:val="000C29B1"/>
    <w:rsid w:val="000D3336"/>
    <w:rsid w:val="000D4F3E"/>
    <w:rsid w:val="000D5EBA"/>
    <w:rsid w:val="000D7938"/>
    <w:rsid w:val="000E1885"/>
    <w:rsid w:val="00115268"/>
    <w:rsid w:val="00133744"/>
    <w:rsid w:val="00142048"/>
    <w:rsid w:val="001517D8"/>
    <w:rsid w:val="001542A8"/>
    <w:rsid w:val="00157324"/>
    <w:rsid w:val="00164B72"/>
    <w:rsid w:val="001805E1"/>
    <w:rsid w:val="00185F9E"/>
    <w:rsid w:val="001942F4"/>
    <w:rsid w:val="001A7363"/>
    <w:rsid w:val="001B545F"/>
    <w:rsid w:val="001F1334"/>
    <w:rsid w:val="001F4E8C"/>
    <w:rsid w:val="001F6D4E"/>
    <w:rsid w:val="001F6E13"/>
    <w:rsid w:val="00210A68"/>
    <w:rsid w:val="00213416"/>
    <w:rsid w:val="00213FEF"/>
    <w:rsid w:val="00217E36"/>
    <w:rsid w:val="00224A11"/>
    <w:rsid w:val="00230976"/>
    <w:rsid w:val="00236191"/>
    <w:rsid w:val="002414C7"/>
    <w:rsid w:val="00253937"/>
    <w:rsid w:val="002548ED"/>
    <w:rsid w:val="00260958"/>
    <w:rsid w:val="00270570"/>
    <w:rsid w:val="002871A8"/>
    <w:rsid w:val="002C6887"/>
    <w:rsid w:val="002D3625"/>
    <w:rsid w:val="002D60AB"/>
    <w:rsid w:val="002E48F8"/>
    <w:rsid w:val="002E77BD"/>
    <w:rsid w:val="002F26FC"/>
    <w:rsid w:val="00317355"/>
    <w:rsid w:val="0033127B"/>
    <w:rsid w:val="00351FFA"/>
    <w:rsid w:val="00360DDB"/>
    <w:rsid w:val="0038201E"/>
    <w:rsid w:val="003A1E90"/>
    <w:rsid w:val="003A47BA"/>
    <w:rsid w:val="003A7228"/>
    <w:rsid w:val="003B29F0"/>
    <w:rsid w:val="003D40AB"/>
    <w:rsid w:val="003D61F3"/>
    <w:rsid w:val="003D7BB7"/>
    <w:rsid w:val="003E42E2"/>
    <w:rsid w:val="003E5F6D"/>
    <w:rsid w:val="003F50FC"/>
    <w:rsid w:val="003F7284"/>
    <w:rsid w:val="003F7513"/>
    <w:rsid w:val="00404AAB"/>
    <w:rsid w:val="00430CD4"/>
    <w:rsid w:val="00437C5F"/>
    <w:rsid w:val="00443969"/>
    <w:rsid w:val="00444784"/>
    <w:rsid w:val="00453C95"/>
    <w:rsid w:val="00455AAA"/>
    <w:rsid w:val="004953FB"/>
    <w:rsid w:val="004A21E9"/>
    <w:rsid w:val="004B0CAD"/>
    <w:rsid w:val="004B235F"/>
    <w:rsid w:val="00502755"/>
    <w:rsid w:val="005245DA"/>
    <w:rsid w:val="00543342"/>
    <w:rsid w:val="00547AC7"/>
    <w:rsid w:val="00560321"/>
    <w:rsid w:val="005736B2"/>
    <w:rsid w:val="0057454F"/>
    <w:rsid w:val="005751CA"/>
    <w:rsid w:val="00576496"/>
    <w:rsid w:val="00581B9F"/>
    <w:rsid w:val="00592704"/>
    <w:rsid w:val="00594D5B"/>
    <w:rsid w:val="005A2B53"/>
    <w:rsid w:val="005A64F2"/>
    <w:rsid w:val="005A6B66"/>
    <w:rsid w:val="005A7E43"/>
    <w:rsid w:val="005D31C0"/>
    <w:rsid w:val="005E005D"/>
    <w:rsid w:val="005E6E6A"/>
    <w:rsid w:val="00605ED3"/>
    <w:rsid w:val="00626C7E"/>
    <w:rsid w:val="00634951"/>
    <w:rsid w:val="006370FA"/>
    <w:rsid w:val="00641701"/>
    <w:rsid w:val="00656010"/>
    <w:rsid w:val="006674A9"/>
    <w:rsid w:val="00672DF0"/>
    <w:rsid w:val="00677428"/>
    <w:rsid w:val="0068008F"/>
    <w:rsid w:val="006912B3"/>
    <w:rsid w:val="006A4237"/>
    <w:rsid w:val="006D4297"/>
    <w:rsid w:val="006E6B93"/>
    <w:rsid w:val="00702337"/>
    <w:rsid w:val="00706683"/>
    <w:rsid w:val="007143F8"/>
    <w:rsid w:val="0074075A"/>
    <w:rsid w:val="007515C1"/>
    <w:rsid w:val="00784152"/>
    <w:rsid w:val="007843C1"/>
    <w:rsid w:val="00785BAF"/>
    <w:rsid w:val="00795815"/>
    <w:rsid w:val="007A044F"/>
    <w:rsid w:val="007A1198"/>
    <w:rsid w:val="007A7184"/>
    <w:rsid w:val="007B59ED"/>
    <w:rsid w:val="007C2B28"/>
    <w:rsid w:val="007C75AF"/>
    <w:rsid w:val="007E243B"/>
    <w:rsid w:val="007E31E7"/>
    <w:rsid w:val="007E4DF0"/>
    <w:rsid w:val="007E6667"/>
    <w:rsid w:val="007F3F5B"/>
    <w:rsid w:val="00815786"/>
    <w:rsid w:val="00820CE7"/>
    <w:rsid w:val="00821797"/>
    <w:rsid w:val="00831422"/>
    <w:rsid w:val="008327EF"/>
    <w:rsid w:val="008359BC"/>
    <w:rsid w:val="00836F32"/>
    <w:rsid w:val="008412F5"/>
    <w:rsid w:val="00862B4E"/>
    <w:rsid w:val="008649C9"/>
    <w:rsid w:val="00876C89"/>
    <w:rsid w:val="008A40A5"/>
    <w:rsid w:val="008B062E"/>
    <w:rsid w:val="008C3594"/>
    <w:rsid w:val="008C55E5"/>
    <w:rsid w:val="008C590B"/>
    <w:rsid w:val="008C7175"/>
    <w:rsid w:val="008D08F6"/>
    <w:rsid w:val="008E5E7A"/>
    <w:rsid w:val="00900856"/>
    <w:rsid w:val="009018BE"/>
    <w:rsid w:val="009120F8"/>
    <w:rsid w:val="00921A2A"/>
    <w:rsid w:val="0099622E"/>
    <w:rsid w:val="009A3155"/>
    <w:rsid w:val="009A5B28"/>
    <w:rsid w:val="009B4285"/>
    <w:rsid w:val="009B4FE8"/>
    <w:rsid w:val="009B6CD4"/>
    <w:rsid w:val="009C2498"/>
    <w:rsid w:val="009D0D63"/>
    <w:rsid w:val="009E33D2"/>
    <w:rsid w:val="009F157F"/>
    <w:rsid w:val="009F2AFD"/>
    <w:rsid w:val="00A17C93"/>
    <w:rsid w:val="00A2449B"/>
    <w:rsid w:val="00A35E78"/>
    <w:rsid w:val="00A37419"/>
    <w:rsid w:val="00A455EB"/>
    <w:rsid w:val="00A459DC"/>
    <w:rsid w:val="00A52313"/>
    <w:rsid w:val="00A5365F"/>
    <w:rsid w:val="00A57152"/>
    <w:rsid w:val="00A73366"/>
    <w:rsid w:val="00A878D1"/>
    <w:rsid w:val="00AB0472"/>
    <w:rsid w:val="00AC6784"/>
    <w:rsid w:val="00B03F86"/>
    <w:rsid w:val="00B1186C"/>
    <w:rsid w:val="00B259FA"/>
    <w:rsid w:val="00B50D49"/>
    <w:rsid w:val="00B64518"/>
    <w:rsid w:val="00B6528F"/>
    <w:rsid w:val="00B73EC1"/>
    <w:rsid w:val="00BA3A0E"/>
    <w:rsid w:val="00BA73E1"/>
    <w:rsid w:val="00BB037F"/>
    <w:rsid w:val="00BB4220"/>
    <w:rsid w:val="00BE51E9"/>
    <w:rsid w:val="00C026A4"/>
    <w:rsid w:val="00C1061D"/>
    <w:rsid w:val="00C2734C"/>
    <w:rsid w:val="00C30647"/>
    <w:rsid w:val="00C438A6"/>
    <w:rsid w:val="00C44610"/>
    <w:rsid w:val="00C647F5"/>
    <w:rsid w:val="00C85DB1"/>
    <w:rsid w:val="00C9571F"/>
    <w:rsid w:val="00CC28F2"/>
    <w:rsid w:val="00CD35C7"/>
    <w:rsid w:val="00CD5F47"/>
    <w:rsid w:val="00CE09EC"/>
    <w:rsid w:val="00CE1DDC"/>
    <w:rsid w:val="00CE5062"/>
    <w:rsid w:val="00CE6252"/>
    <w:rsid w:val="00D01DAB"/>
    <w:rsid w:val="00D20857"/>
    <w:rsid w:val="00D254F3"/>
    <w:rsid w:val="00D31BAE"/>
    <w:rsid w:val="00D37E36"/>
    <w:rsid w:val="00D43A2A"/>
    <w:rsid w:val="00D578EA"/>
    <w:rsid w:val="00D6188D"/>
    <w:rsid w:val="00D62A81"/>
    <w:rsid w:val="00D72DB4"/>
    <w:rsid w:val="00D86C59"/>
    <w:rsid w:val="00D90202"/>
    <w:rsid w:val="00D90CC6"/>
    <w:rsid w:val="00DA511F"/>
    <w:rsid w:val="00DB089C"/>
    <w:rsid w:val="00DC0964"/>
    <w:rsid w:val="00DD1584"/>
    <w:rsid w:val="00DE053F"/>
    <w:rsid w:val="00DE09FA"/>
    <w:rsid w:val="00DE2D8A"/>
    <w:rsid w:val="00E21CDA"/>
    <w:rsid w:val="00E42F6B"/>
    <w:rsid w:val="00E43B06"/>
    <w:rsid w:val="00E454EB"/>
    <w:rsid w:val="00E4678C"/>
    <w:rsid w:val="00E4741B"/>
    <w:rsid w:val="00E57F07"/>
    <w:rsid w:val="00E62C8E"/>
    <w:rsid w:val="00E67DAB"/>
    <w:rsid w:val="00E931B0"/>
    <w:rsid w:val="00EA4E6E"/>
    <w:rsid w:val="00EA5973"/>
    <w:rsid w:val="00EA62E7"/>
    <w:rsid w:val="00EB28F3"/>
    <w:rsid w:val="00EB3CE5"/>
    <w:rsid w:val="00EC1D2A"/>
    <w:rsid w:val="00EC6149"/>
    <w:rsid w:val="00EC6180"/>
    <w:rsid w:val="00ED1D26"/>
    <w:rsid w:val="00EF0233"/>
    <w:rsid w:val="00F0376A"/>
    <w:rsid w:val="00F15B34"/>
    <w:rsid w:val="00F20215"/>
    <w:rsid w:val="00F26097"/>
    <w:rsid w:val="00F317D5"/>
    <w:rsid w:val="00F3241D"/>
    <w:rsid w:val="00F3467F"/>
    <w:rsid w:val="00F36EEB"/>
    <w:rsid w:val="00F4314B"/>
    <w:rsid w:val="00F50D1B"/>
    <w:rsid w:val="00F601E7"/>
    <w:rsid w:val="00F64685"/>
    <w:rsid w:val="00F92510"/>
    <w:rsid w:val="00F96A67"/>
    <w:rsid w:val="00FA2706"/>
    <w:rsid w:val="00FA3633"/>
    <w:rsid w:val="00FD553E"/>
    <w:rsid w:val="00FD6BEC"/>
    <w:rsid w:val="00FE11BD"/>
    <w:rsid w:val="00FE2E85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E35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2E77BD"/>
    <w:pPr>
      <w:spacing w:after="0"/>
    </w:pPr>
    <w:rPr>
      <w:rFonts w:ascii="Arial" w:eastAsia="MS Gothic" w:hAnsi="Arial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2E77BD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581B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color w:val="auto"/>
      <w:sz w:val="24"/>
      <w:szCs w:val="24"/>
      <w:lang w:val="en-US"/>
    </w:rPr>
  </w:style>
  <w:style w:type="character" w:styleId="CommentReference">
    <w:name w:val="annotation reference"/>
    <w:rsid w:val="00164B72"/>
    <w:rPr>
      <w:sz w:val="18"/>
      <w:szCs w:val="18"/>
    </w:rPr>
  </w:style>
  <w:style w:type="paragraph" w:styleId="CommentText">
    <w:name w:val="annotation text"/>
    <w:basedOn w:val="Normal"/>
    <w:link w:val="CommentTextChar"/>
    <w:rsid w:val="00164B72"/>
    <w:rPr>
      <w:lang w:eastAsia="x-none"/>
    </w:rPr>
  </w:style>
  <w:style w:type="character" w:customStyle="1" w:styleId="CommentTextChar">
    <w:name w:val="Comment Text Char"/>
    <w:link w:val="CommentText"/>
    <w:rsid w:val="00164B72"/>
    <w:rPr>
      <w:color w:val="00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4B72"/>
    <w:rPr>
      <w:b/>
      <w:bCs/>
    </w:rPr>
  </w:style>
  <w:style w:type="character" w:customStyle="1" w:styleId="CommentSubjectChar">
    <w:name w:val="Comment Subject Char"/>
    <w:link w:val="CommentSubject"/>
    <w:rsid w:val="00164B72"/>
    <w:rPr>
      <w:b/>
      <w:bCs/>
      <w:color w:val="000000"/>
      <w:lang w:val="en-GB"/>
    </w:rPr>
  </w:style>
  <w:style w:type="paragraph" w:styleId="ListParagraph">
    <w:name w:val="List Paragraph"/>
    <w:basedOn w:val="Normal"/>
    <w:uiPriority w:val="72"/>
    <w:rsid w:val="00832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link w:val="BalloonTextChar"/>
    <w:rsid w:val="002E77BD"/>
    <w:pPr>
      <w:spacing w:after="0"/>
    </w:pPr>
    <w:rPr>
      <w:rFonts w:ascii="Arial" w:eastAsia="MS Gothic" w:hAnsi="Arial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2E77BD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581B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color w:val="auto"/>
      <w:sz w:val="24"/>
      <w:szCs w:val="24"/>
      <w:lang w:val="en-US"/>
    </w:rPr>
  </w:style>
  <w:style w:type="character" w:styleId="CommentReference">
    <w:name w:val="annotation reference"/>
    <w:rsid w:val="00164B72"/>
    <w:rPr>
      <w:sz w:val="18"/>
      <w:szCs w:val="18"/>
    </w:rPr>
  </w:style>
  <w:style w:type="paragraph" w:styleId="CommentText">
    <w:name w:val="annotation text"/>
    <w:basedOn w:val="Normal"/>
    <w:link w:val="CommentTextChar"/>
    <w:rsid w:val="00164B72"/>
    <w:rPr>
      <w:lang w:eastAsia="x-none"/>
    </w:rPr>
  </w:style>
  <w:style w:type="character" w:customStyle="1" w:styleId="CommentTextChar">
    <w:name w:val="Comment Text Char"/>
    <w:link w:val="CommentText"/>
    <w:rsid w:val="00164B72"/>
    <w:rPr>
      <w:color w:val="00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4B72"/>
    <w:rPr>
      <w:b/>
      <w:bCs/>
    </w:rPr>
  </w:style>
  <w:style w:type="character" w:customStyle="1" w:styleId="CommentSubjectChar">
    <w:name w:val="Comment Subject Char"/>
    <w:link w:val="CommentSubject"/>
    <w:rsid w:val="00164B72"/>
    <w:rPr>
      <w:b/>
      <w:bCs/>
      <w:color w:val="000000"/>
      <w:lang w:val="en-GB"/>
    </w:rPr>
  </w:style>
  <w:style w:type="paragraph" w:styleId="ListParagraph">
    <w:name w:val="List Paragraph"/>
    <w:basedOn w:val="Normal"/>
    <w:uiPriority w:val="72"/>
    <w:rsid w:val="0083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Pudney, Chris, Vodafone Group 29</cp:lastModifiedBy>
  <cp:revision>4</cp:revision>
  <cp:lastPrinted>2003-09-26T08:29:00Z</cp:lastPrinted>
  <dcterms:created xsi:type="dcterms:W3CDTF">2014-11-11T13:34:00Z</dcterms:created>
  <dcterms:modified xsi:type="dcterms:W3CDTF">2014-11-11T14:33:00Z</dcterms:modified>
</cp:coreProperties>
</file>